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附件4</w:t>
      </w:r>
    </w:p>
    <w:p>
      <w:pPr>
        <w:pStyle w:val="2"/>
        <w:bidi w:val="0"/>
        <w:jc w:val="center"/>
        <w:rPr>
          <w:rFonts w:hint="eastAsia" w:ascii="方正小标宋简体" w:hAnsi="方正小标宋简体" w:eastAsia="方正小标宋简体" w:cs="方正小标宋简体"/>
          <w:sz w:val="36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28"/>
          <w:lang w:val="en-US" w:eastAsia="zh-CN"/>
        </w:rPr>
        <w:t>文化建设制度机制清单</w:t>
      </w:r>
    </w:p>
    <w:tbl>
      <w:tblPr>
        <w:tblStyle w:val="3"/>
        <w:tblW w:w="5851" w:type="pct"/>
        <w:tblInd w:w="-80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2907"/>
        <w:gridCol w:w="3964"/>
        <w:gridCol w:w="22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制度/机制名称</w:t>
            </w:r>
          </w:p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文件概要</w:t>
            </w: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实施/修订日期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《长江证券股份有限公司章程》</w:t>
            </w:r>
          </w:p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进一步明确细化公司文化建设的目标与任务。</w:t>
            </w: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2022年9月16日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《长江证券股份有限公司全面风险管理制度》</w:t>
            </w:r>
          </w:p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持续完善全面风险管理机制，将廉洁从业风险、信息技术风险纳入全面风险管理体系中。</w:t>
            </w: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2022年4月29日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《长江证券股份有限公司关联交易管理制度》</w:t>
            </w:r>
          </w:p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对关联关系、关联人、关联交易作出明确规定，全面规范关联交易审议与披露、审计与问责等事务及相关管理要求。</w:t>
            </w: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2022年4月29日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《长江证券股份有限公司投资者关系管理制度》</w:t>
            </w:r>
          </w:p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对投资者关系管理四项基本原则、管理内容和方式、管理组织与实施及责任追究等方面进行全面规范。</w:t>
            </w: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2022年9月2日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《长江证券股份有限公司内幕信息及知情人登记管理制度》</w:t>
            </w:r>
          </w:p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建立健全内幕信息及知情人登记管理机制体制，明确内幕信息及知情人范围、登记要求、保密管理及处罚事项。</w:t>
            </w: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2022年9月2日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《长江证券股份有限公司文化建设管理办法》</w:t>
            </w:r>
          </w:p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提出通过内聚人心力量，外树行业形象，打造具有长江特色的“忠诚”文化与核心竞争力，明确公司文化建设目标、基本原则、组织保障、职责分工、考核评价等内容。</w:t>
            </w: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2022年12月2日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《长江证券股份有限公司媒体合作管理办法》</w:t>
            </w:r>
          </w:p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明确媒体合作管理机制体制，对媒体合作的基本原则、职责分工、合作类型、合作程序、费用列支、相关纪律及违规处罚等作出全面规范，并明确差异化管理要求。</w:t>
            </w: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2022年5月27日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《长江证券股份有限公司品牌宣传管理办法》</w:t>
            </w:r>
          </w:p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明确品牌宣传管理机制体制，对品牌宣传的职责分工、新闻采访、新闻发布、品牌广告、内部宣传、相关纪律及违规处罚等作出全面规范。</w:t>
            </w: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2022年5月27日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《长江证券股份有限公司公务招待管理办法》</w:t>
            </w:r>
          </w:p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细化落实廉洁从业要求，对公务招待所涉招待用餐、纪念品、招待住宿、报销流程、监督检查及责任追究等作出全面规范。</w:t>
            </w: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2022年6月6日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《长江证券股份有限公司聘请第三方机构管理办法》</w:t>
            </w:r>
          </w:p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对第三方机构资质条件、聘请程序、信息披露及工作底稿管理、费用支付、廉洁纪律规定、违规问责等进行全面规范，强调严禁通过各种形式进行利益输送、利益冲突、商业贿赂、职务侵占等行为。</w:t>
            </w: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2022年1月6日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《长江证券股份有限公司招聘管理办法》</w:t>
            </w:r>
          </w:p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进一步强化员工招聘中的职责分工、任职资格考察与过程管理。</w:t>
            </w: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2022年4月20日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《长江证券股份有限公司员工绩效管理暂行办法》</w:t>
            </w:r>
          </w:p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进一步明确绩效管理职责分工、跟踪辅导、绩效考核、结果运用等内容。</w:t>
            </w: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2022年4月20日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《长江证券股份有限公司管理干部选拔任用暂行办法》</w:t>
            </w:r>
          </w:p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进一步强调“德才兼备、以德优先”选人用人五项基本原则，明确管理干部选拔任用的资质条件、考察、任用等工作流程及执业回避等要求。</w:t>
            </w: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2022年4月20日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《长江证券股份有限公司投资者适当性管理办法》</w:t>
            </w:r>
          </w:p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进一步明确投资者适当性管理机制体制、职责分工，细化投资者分类、产品及服务分级、适当性匹配及风险揭示、监督管理及保障措施等规定。</w:t>
            </w: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2022年8月8日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《长江证券股份有限公司债券承销业务管理办法》</w:t>
            </w:r>
          </w:p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确公司开展债券承销业务应坚持合规、诚信、专业、稳健的文化理念，应建立分工合理、权责明确、相互制衡、有效监督的三道内部控制防线，对债券项目承揽与立项、尽职调查、质控审核、项目内核、推介与注册发行、合规与风险管理等方面进行全面规范。</w:t>
            </w: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2022年6月2日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《长江证券股份有限公司声誉风险管理考核细则》</w:t>
            </w:r>
          </w:p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为进一步强化公司声誉风险管理考核及问责，加大声誉约束力度，提升全员声誉风险防范意识，对声誉风险管理考核范围、考核方式、考核指标、考核运用等作出全面规范。</w:t>
            </w: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2022年8月1日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《长江证券股份有限公司文化建设工作考核细则》</w:t>
            </w:r>
          </w:p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明确公司文化建设工作考核机制体制，对考核内容、考核指标、考核评议、考核运用等进行全面规范。</w:t>
            </w: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2022年12月26日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《长江证券股份有限公司子公司人力资源管理实施细则》</w:t>
            </w:r>
          </w:p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落实公司对子公司垂直穿透管理要求，进一步明确细化子公司人事委派和管理、子公司招聘与培训、子公司职级与薪酬福利、子公司绩效管理及激励分配等人力资源垂管规定。</w:t>
            </w: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2022年4月20日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强化管理干部及主要业务人员合规风险定向防控，在原制定发布董监高、分支机构负责人、保荐代表人、证券分析师、证券投资顾问、自营及资管业务投资经理等人员“一岗一策”基础上，根据证监会“195号文”新规规定，对分支机构负责人“一岗一策”进行修订完善。</w:t>
            </w:r>
          </w:p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为与时俱进，加强分支机构负责人合规风险定向防控，根据最新监管外规、典型案例，对分支机构负责人合规管理提出针对性合规意见与建议。</w:t>
            </w: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2022年8月30日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为加强员工执业行为管理，对《长江证券股份有限公司员工执业行为合规手册》进行修订完善。</w:t>
            </w:r>
          </w:p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合规概念、合规理念与合规文化进行详细说明，新增“工作态度、工作能力与工作作风”“知识产权保护”“声誉风险管理”“廉洁从业”“手机管理”“合规箴言”等篇目，细化员工投资行为管理要求，强调“身为长江人，当具长江魂。此魂以金融报国为体，以合规执业为相，以行稳致远为用”。</w:t>
            </w: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2022年10月19日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针对分支机构点多、面广、事杂的特点，为推进综合运营管理标准化，制订发布《分支机构综合运营管理管理标准化手册》。</w:t>
            </w:r>
          </w:p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对分支机构证照、公示、投教、印章、档案、合同、会议、人事、公文、培训、自媒体营销宣传、绩效、薪酬福利等综合运营事务进行全面梳理与系统规范。</w:t>
            </w: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2022年7月19日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针对无资格展业、违规投资咨询等监管重点，提前部署，联合发文，组织加强自查核查与整改完善。</w:t>
            </w:r>
          </w:p>
        </w:tc>
        <w:tc>
          <w:tcPr>
            <w:tcW w:w="1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2022年8月8日，法律合规部、财富管理中心联合发布《关于开展投顾业务专项合规自查和检查工作的通知》；2022年9月27日，法律合规部、财富管理中心联合发布《关于规范无资格展业行为相关事项的通知》。</w:t>
            </w: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2022年8月-9月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zNDkzOGJhZmU2NGRmNGQxYTY2NWRiMDdiZWQzZGEifQ=="/>
  </w:docVars>
  <w:rsids>
    <w:rsidRoot w:val="24A939C6"/>
    <w:rsid w:val="0AD7306F"/>
    <w:rsid w:val="24A939C6"/>
    <w:rsid w:val="3F5A3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2236</Words>
  <Characters>2341</Characters>
  <Lines>0</Lines>
  <Paragraphs>0</Paragraphs>
  <TotalTime>1</TotalTime>
  <ScaleCrop>false</ScaleCrop>
  <LinksUpToDate>false</LinksUpToDate>
  <CharactersWithSpaces>2342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2023-05-10T03:22:00Z</dcterms:created>
  <dc:creator>蔡文卿</dc:creator>
  <cp:lastModifiedBy>蔡文卿</cp:lastModifiedBy>
  <dcterms:modified xsi:type="dcterms:W3CDTF">2023-05-19T08:22:49Z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FB20747C18C24FF8A1BBFFDC38193BCC_11</vt:lpwstr>
  </property>
</Properties>
</file>